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34899" w14:textId="746A61AA" w:rsidR="00B97703" w:rsidRDefault="0091451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37C7">
        <w:rPr>
          <w:sz w:val="24"/>
        </w:rPr>
        <w:t>3GPP TSG-RAN WG4 Meeting #11</w:t>
      </w:r>
      <w:r w:rsidR="007C6D57">
        <w:rPr>
          <w:sz w:val="24"/>
        </w:rPr>
        <w:t>7</w:t>
      </w:r>
      <w:r w:rsidR="009745E7">
        <w:rPr>
          <w:rFonts w:cs="Arial"/>
          <w:bCs/>
          <w:sz w:val="22"/>
          <w:szCs w:val="22"/>
        </w:rPr>
        <w:t xml:space="preserve">             </w:t>
      </w:r>
      <w:r w:rsidR="009745E7">
        <w:rPr>
          <w:rFonts w:cs="Arial"/>
          <w:sz w:val="24"/>
          <w:szCs w:val="24"/>
        </w:rPr>
        <w:t xml:space="preserve">                                                   </w:t>
      </w:r>
      <w:r w:rsidR="009745E7" w:rsidRPr="00A708B7">
        <w:rPr>
          <w:rFonts w:cs="Arial"/>
          <w:sz w:val="24"/>
          <w:szCs w:val="24"/>
        </w:rPr>
        <w:t>R4-</w:t>
      </w:r>
      <w:r w:rsidR="004424C7" w:rsidRPr="004424C7">
        <w:rPr>
          <w:rFonts w:cs="Arial"/>
          <w:sz w:val="24"/>
          <w:szCs w:val="24"/>
        </w:rPr>
        <w:t>2520269</w:t>
      </w:r>
    </w:p>
    <w:p w14:paraId="7395151B" w14:textId="72B3219C" w:rsidR="004E3939" w:rsidRPr="00DA53A0" w:rsidRDefault="007C6D57" w:rsidP="004E3939">
      <w:pPr>
        <w:pStyle w:val="Header"/>
        <w:rPr>
          <w:sz w:val="22"/>
          <w:szCs w:val="22"/>
        </w:rPr>
      </w:pPr>
      <w:r>
        <w:rPr>
          <w:rFonts w:cs="Arial"/>
          <w:sz w:val="24"/>
          <w:szCs w:val="24"/>
        </w:rPr>
        <w:t>Dallas</w:t>
      </w:r>
      <w:r w:rsidR="004723BD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741CA" w:rsidRPr="006B26E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="004723BD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 xml:space="preserve">21 </w:t>
      </w:r>
      <w:r w:rsidR="00CC2122">
        <w:rPr>
          <w:rFonts w:cs="Arial"/>
          <w:sz w:val="24"/>
          <w:szCs w:val="24"/>
        </w:rPr>
        <w:t>November</w:t>
      </w:r>
      <w:r>
        <w:rPr>
          <w:rFonts w:cs="Arial"/>
          <w:sz w:val="24"/>
          <w:szCs w:val="24"/>
        </w:rPr>
        <w:t xml:space="preserve"> </w:t>
      </w:r>
      <w:r w:rsidR="00E03BAE">
        <w:rPr>
          <w:rFonts w:cs="Arial"/>
          <w:sz w:val="24"/>
          <w:szCs w:val="24"/>
        </w:rPr>
        <w:t>2025</w:t>
      </w:r>
      <w:r w:rsidR="00F7065C">
        <w:rPr>
          <w:rFonts w:cs="Arial"/>
          <w:sz w:val="24"/>
          <w:szCs w:val="24"/>
        </w:rPr>
        <w:tab/>
      </w:r>
      <w:r w:rsidR="00F7065C">
        <w:rPr>
          <w:rFonts w:cs="Arial"/>
          <w:sz w:val="24"/>
          <w:szCs w:val="24"/>
        </w:rPr>
        <w:tab/>
      </w:r>
      <w:r w:rsidR="00F7065C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      </w:t>
      </w:r>
      <w:r w:rsidR="00E27D0B">
        <w:rPr>
          <w:rFonts w:cs="Arial"/>
          <w:sz w:val="24"/>
          <w:szCs w:val="24"/>
        </w:rPr>
        <w:t xml:space="preserve"> </w:t>
      </w:r>
      <w:r w:rsidR="00E351E6">
        <w:rPr>
          <w:rFonts w:cs="Arial"/>
          <w:sz w:val="24"/>
          <w:szCs w:val="24"/>
        </w:rPr>
        <w:tab/>
      </w:r>
      <w:r w:rsidR="00E351E6">
        <w:rPr>
          <w:rFonts w:cs="Arial"/>
          <w:sz w:val="24"/>
          <w:szCs w:val="24"/>
        </w:rPr>
        <w:tab/>
      </w:r>
      <w:r w:rsidR="00F7065C">
        <w:rPr>
          <w:rFonts w:cs="Arial"/>
          <w:bCs/>
          <w:sz w:val="22"/>
          <w:szCs w:val="22"/>
        </w:rPr>
        <w:t xml:space="preserve">(revision of </w:t>
      </w:r>
      <w:r w:rsidR="00F7065C" w:rsidRPr="009745E7">
        <w:rPr>
          <w:rFonts w:cs="Arial"/>
          <w:sz w:val="20"/>
        </w:rPr>
        <w:t>R4-25</w:t>
      </w:r>
      <w:r>
        <w:rPr>
          <w:rFonts w:cs="Arial"/>
          <w:sz w:val="20"/>
        </w:rPr>
        <w:t>12550</w:t>
      </w:r>
      <w:r w:rsidR="00F7065C">
        <w:rPr>
          <w:rFonts w:cs="Arial"/>
          <w:sz w:val="20"/>
        </w:rPr>
        <w:t>)</w:t>
      </w: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5B342C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20B4">
        <w:rPr>
          <w:rFonts w:ascii="Arial" w:hAnsi="Arial" w:cs="Arial"/>
          <w:b/>
          <w:sz w:val="22"/>
          <w:szCs w:val="22"/>
        </w:rPr>
        <w:t>(</w:t>
      </w:r>
      <w:r w:rsidR="007C6D57">
        <w:rPr>
          <w:rFonts w:ascii="Arial" w:hAnsi="Arial" w:cs="Arial"/>
          <w:b/>
          <w:sz w:val="22"/>
          <w:szCs w:val="22"/>
        </w:rPr>
        <w:t>Revised</w:t>
      </w:r>
      <w:r w:rsidR="000320B4">
        <w:rPr>
          <w:rFonts w:ascii="Arial" w:hAnsi="Arial" w:cs="Arial"/>
          <w:b/>
          <w:sz w:val="22"/>
          <w:szCs w:val="22"/>
        </w:rPr>
        <w:t>)</w:t>
      </w:r>
      <w:r w:rsidR="007C6D57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031F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E2149A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E2149A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30A7925B" w14:textId="33086A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1AB2">
        <w:rPr>
          <w:rFonts w:ascii="Arial" w:hAnsi="Arial" w:cs="Arial"/>
          <w:b/>
          <w:bCs/>
          <w:sz w:val="22"/>
          <w:szCs w:val="22"/>
        </w:rPr>
        <w:t>(</w:t>
      </w:r>
      <w:r w:rsidR="00C31926" w:rsidRPr="00C31926">
        <w:rPr>
          <w:rFonts w:ascii="Arial" w:hAnsi="Arial" w:cs="Arial"/>
          <w:b/>
          <w:bCs/>
          <w:sz w:val="22"/>
          <w:szCs w:val="22"/>
        </w:rPr>
        <w:t>R1-</w:t>
      </w:r>
      <w:r w:rsidR="003F5003" w:rsidRPr="00C31926">
        <w:rPr>
          <w:rFonts w:ascii="Arial" w:hAnsi="Arial" w:cs="Arial"/>
          <w:b/>
          <w:bCs/>
          <w:sz w:val="22"/>
          <w:szCs w:val="22"/>
        </w:rPr>
        <w:t>250</w:t>
      </w:r>
      <w:r w:rsidR="000320B4">
        <w:rPr>
          <w:rFonts w:ascii="Arial" w:hAnsi="Arial" w:cs="Arial"/>
          <w:b/>
          <w:bCs/>
          <w:sz w:val="22"/>
          <w:szCs w:val="22"/>
        </w:rPr>
        <w:t>8064</w:t>
      </w:r>
      <w:r w:rsidR="00C41AB2">
        <w:rPr>
          <w:rFonts w:ascii="Arial" w:hAnsi="Arial" w:cs="Arial"/>
          <w:b/>
          <w:bCs/>
          <w:sz w:val="22"/>
          <w:szCs w:val="22"/>
        </w:rPr>
        <w:t>)</w:t>
      </w:r>
      <w:r w:rsidR="003F50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C31926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C31926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2"/>
    <w:bookmarkEnd w:id="3"/>
    <w:bookmarkEnd w:id="4"/>
    <w:p w14:paraId="36FA209D" w14:textId="1B9924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3132">
        <w:rPr>
          <w:rFonts w:ascii="Arial" w:hAnsi="Arial" w:cs="Arial"/>
          <w:b/>
          <w:bCs/>
          <w:sz w:val="22"/>
          <w:szCs w:val="22"/>
        </w:rPr>
        <w:t>I</w:t>
      </w:r>
      <w:r w:rsidR="00203132" w:rsidRPr="00203132">
        <w:rPr>
          <w:rFonts w:ascii="Arial" w:hAnsi="Arial" w:cs="Arial"/>
          <w:b/>
          <w:bCs/>
          <w:sz w:val="22"/>
          <w:szCs w:val="22"/>
        </w:rPr>
        <w:t xml:space="preserve">ntroduction of IoT-NTN TDD mode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-Core)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6BE297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1DEF">
        <w:rPr>
          <w:rFonts w:ascii="Arial" w:hAnsi="Arial" w:cs="Arial"/>
          <w:b/>
          <w:sz w:val="22"/>
          <w:szCs w:val="22"/>
        </w:rPr>
        <w:t>RAN4</w:t>
      </w:r>
    </w:p>
    <w:p w14:paraId="1641C465" w14:textId="1EB831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RAN1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06BAA3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 Savoia</w:t>
      </w:r>
    </w:p>
    <w:p w14:paraId="2B714BA4" w14:textId="0FE9FC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andjela.savoia@iridium.com</w:t>
      </w:r>
    </w:p>
    <w:p w14:paraId="346F94BE" w14:textId="1E8920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7A9FF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B836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D319E" w14:textId="676419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61EFB">
        <w:rPr>
          <w:rFonts w:ascii="Arial" w:hAnsi="Arial" w:cs="Arial"/>
          <w:b/>
        </w:rPr>
        <w:t xml:space="preserve"> N/A</w:t>
      </w:r>
      <w:r>
        <w:rPr>
          <w:rFonts w:ascii="Arial" w:hAnsi="Arial" w:cs="Arial"/>
          <w:bCs/>
        </w:rPr>
        <w:tab/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7D81E5" w14:textId="397EA5A0" w:rsidR="00564F77" w:rsidRDefault="00564F77" w:rsidP="00564F77">
      <w:r w:rsidRPr="003244F1">
        <w:rPr>
          <w:rFonts w:cs="Arial"/>
          <w:bCs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6FFA05" wp14:editId="6BD74DAF">
                <wp:simplePos x="0" y="0"/>
                <wp:positionH relativeFrom="column">
                  <wp:posOffset>-19365</wp:posOffset>
                </wp:positionH>
                <wp:positionV relativeFrom="paragraph">
                  <wp:posOffset>284063</wp:posOffset>
                </wp:positionV>
                <wp:extent cx="6127750" cy="1447800"/>
                <wp:effectExtent l="0" t="0" r="2540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1E409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2C45ED8F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  <w:t>For precompensation, from RAN1 perspective:</w:t>
                            </w:r>
                          </w:p>
                          <w:p w14:paraId="11B75AF3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The UE adjusts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4228CCA5" w14:textId="77777777" w:rsidR="00564F77" w:rsidRPr="003244F1" w:rsidRDefault="00564F77" w:rsidP="00564F77">
                            <w:pPr>
                              <w:numPr>
                                <w:ilvl w:val="1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 Whether it is supported to perform segmented pre-compensation within the set of 8 consecutive uplink subframes, and whether in this case a pre-compensation gap is needed.</w:t>
                            </w:r>
                          </w:p>
                          <w:p w14:paraId="323FA627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</w:t>
                            </w: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x-none"/>
                              </w:rPr>
                              <w:t xml:space="preserve"> whether spec impact is in RAN1, RAN4 or both</w:t>
                            </w:r>
                          </w:p>
                          <w:p w14:paraId="4ED5FDFC" w14:textId="77777777" w:rsidR="00564F77" w:rsidRPr="003244F1" w:rsidRDefault="00564F77" w:rsidP="00564F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FF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22.35pt;width:482.5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">
                <v:textbox>
                  <w:txbxContent>
                    <w:p w14:paraId="0071E409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</w:pPr>
                      <w:r w:rsidRPr="003244F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  <w:t>Working assumption</w:t>
                      </w:r>
                    </w:p>
                    <w:p w14:paraId="2C45ED8F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</w:rPr>
                        <w:t>For precompensation, from RAN1 perspective:</w:t>
                      </w:r>
                    </w:p>
                    <w:p w14:paraId="11B75AF3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The UE adjusts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4228CCA5" w14:textId="77777777" w:rsidR="00564F77" w:rsidRPr="003244F1" w:rsidRDefault="00564F77" w:rsidP="00564F77">
                      <w:pPr>
                        <w:numPr>
                          <w:ilvl w:val="1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 Whether it is supported to perform segmented pre-compensation within the set of 8 consecutive uplink subframes, and whether in this case a pre-compensation gap is needed.</w:t>
                      </w:r>
                    </w:p>
                    <w:p w14:paraId="323FA627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</w:t>
                      </w: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val="en-US" w:eastAsia="x-none"/>
                        </w:rPr>
                        <w:t xml:space="preserve"> whether spec impact is in RAN1, RAN4 or both</w:t>
                      </w:r>
                    </w:p>
                    <w:p w14:paraId="4ED5FDFC" w14:textId="77777777" w:rsidR="00564F77" w:rsidRPr="003244F1" w:rsidRDefault="00564F77" w:rsidP="00564F77"/>
                  </w:txbxContent>
                </v:textbox>
                <w10:wrap type="square"/>
              </v:shape>
            </w:pict>
          </mc:Fallback>
        </mc:AlternateContent>
      </w:r>
      <w:r>
        <w:t xml:space="preserve">RAN4 received from RAN1 the following LS </w:t>
      </w:r>
      <w:r w:rsidR="000320B4">
        <w:t xml:space="preserve">(R1-2503142) </w:t>
      </w:r>
      <w:r>
        <w:t>with the following RAN1 working assumptions:</w:t>
      </w:r>
    </w:p>
    <w:p w14:paraId="385BBCE5" w14:textId="4ABC3C15" w:rsidR="00564F77" w:rsidRDefault="00564F77" w:rsidP="00564F77"/>
    <w:p w14:paraId="3259DD87" w14:textId="556D08D3" w:rsidR="007C6D57" w:rsidRDefault="007C6D57" w:rsidP="00564F77">
      <w:r>
        <w:t>Then RAN1 asked for another clarification under LS RAN1</w:t>
      </w:r>
      <w:r w:rsidR="000320B4">
        <w:t xml:space="preserve"> </w:t>
      </w:r>
      <w:r w:rsidR="000320B4" w:rsidRPr="00FC68EA">
        <w:t>R1-2508064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20B4" w14:paraId="03F02F50" w14:textId="77777777" w:rsidTr="000320B4">
        <w:tc>
          <w:tcPr>
            <w:tcW w:w="9855" w:type="dxa"/>
          </w:tcPr>
          <w:p w14:paraId="34DED30D" w14:textId="77777777" w:rsidR="000320B4" w:rsidRDefault="000320B4" w:rsidP="000320B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>, related to the working assumption on the previous RAN1 LS:</w:t>
            </w:r>
          </w:p>
          <w:p w14:paraId="635365C6" w14:textId="77777777" w:rsidR="000320B4" w:rsidRPr="00636AB6" w:rsidRDefault="000320B4" w:rsidP="000320B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117444C9" w14:textId="77777777" w:rsidR="000320B4" w:rsidRPr="00636AB6" w:rsidRDefault="000320B4" w:rsidP="000320B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347F7D0E" w14:textId="77777777" w:rsidR="000320B4" w:rsidRPr="00636AB6" w:rsidRDefault="000320B4" w:rsidP="000320B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19ED581B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4159CB5E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2CDB9A89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7FC434E2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252DCE5F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6952C72F" w14:textId="77777777" w:rsidR="000320B4" w:rsidRDefault="000320B4" w:rsidP="000320B4">
            <w:pPr>
              <w:ind w:left="720"/>
            </w:pPr>
            <w:r w:rsidRPr="00636AB6">
              <w:rPr>
                <w:color w:val="FF0000"/>
              </w:rPr>
              <w:lastRenderedPageBreak/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27B04A84" w14:textId="77777777" w:rsidR="000320B4" w:rsidRDefault="000320B4" w:rsidP="000320B4">
            <w:r>
              <w:br/>
              <w:t>The RAN4 CR may not be aligned with the latest RAN1 agreement. RAN1 would like to ask RAN4 if they have concerns on the updated agreement, and:</w:t>
            </w:r>
          </w:p>
          <w:p w14:paraId="312767C5" w14:textId="77777777" w:rsidR="000320B4" w:rsidRDefault="000320B4" w:rsidP="000320B4">
            <w:pPr>
              <w:pStyle w:val="ListParagraph"/>
              <w:numPr>
                <w:ilvl w:val="0"/>
                <w:numId w:val="7"/>
              </w:numPr>
              <w:ind w:firstLineChars="0"/>
              <w:contextualSpacing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69448005" w14:textId="013F86FC" w:rsidR="000320B4" w:rsidRDefault="000320B4" w:rsidP="00FC68EA">
            <w:pPr>
              <w:pStyle w:val="ListParagraph"/>
              <w:numPr>
                <w:ilvl w:val="0"/>
                <w:numId w:val="7"/>
              </w:numPr>
              <w:ind w:firstLineChars="0"/>
              <w:contextualSpacing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24378794" w14:textId="77777777" w:rsidR="007C6D57" w:rsidRDefault="007C6D57" w:rsidP="00564F77"/>
    <w:p w14:paraId="326A7F6C" w14:textId="77777777" w:rsidR="00564F77" w:rsidRDefault="00564F77" w:rsidP="00FC68EA">
      <w:pPr>
        <w:jc w:val="both"/>
      </w:pPr>
      <w:r>
        <w:t>RAN4 would like to thank RAN1 for informing RAN4 about the agreement regarding UE behaviour in IoT NTN TDD system regarding the pre-compensation. RAN4 does not see any issues with the agreement and has agreed to incorporate the agreement in TS 36.102 clause 6.4B.1 as follows:</w:t>
      </w:r>
    </w:p>
    <w:p w14:paraId="3AA73118" w14:textId="451915BA" w:rsidR="00564F77" w:rsidRPr="00403290" w:rsidRDefault="00564F77" w:rsidP="00564F77">
      <w:pPr>
        <w:spacing w:after="120"/>
        <w:rPr>
          <w:rStyle w:val="Hyperlink"/>
          <w:color w:val="000000" w:themeColor="text1"/>
          <w:szCs w:val="24"/>
          <w:lang w:eastAsia="zh-CN"/>
        </w:rPr>
      </w:pPr>
      <w:r>
        <w:rPr>
          <w:rStyle w:val="Hyperlink"/>
          <w:color w:val="000000" w:themeColor="text1"/>
          <w:szCs w:val="24"/>
          <w:lang w:eastAsia="zh-CN"/>
        </w:rPr>
        <w:t>At the RAN4#116</w:t>
      </w:r>
      <w:r w:rsidRPr="00403290">
        <w:rPr>
          <w:rStyle w:val="Hyperlink"/>
          <w:color w:val="000000" w:themeColor="text1"/>
          <w:szCs w:val="24"/>
          <w:lang w:eastAsia="zh-CN"/>
        </w:rPr>
        <w:t xml:space="preserve"> meeting, RAN4 reached the following agreement: </w:t>
      </w:r>
    </w:p>
    <w:p w14:paraId="3B133DE9" w14:textId="2C49F147" w:rsidR="00564F77" w:rsidRDefault="00564F77" w:rsidP="00564F77">
      <w:pPr>
        <w:pStyle w:val="ListParagraph"/>
        <w:numPr>
          <w:ilvl w:val="0"/>
          <w:numId w:val="5"/>
        </w:numPr>
        <w:spacing w:after="120"/>
        <w:ind w:firstLineChars="0"/>
        <w:jc w:val="both"/>
        <w:rPr>
          <w:u w:val="single"/>
        </w:rPr>
      </w:pPr>
      <w:r w:rsidRPr="0044317D">
        <w:rPr>
          <w:u w:val="single"/>
        </w:rPr>
        <w:t>For frequency error requirement (TS 36.102):</w:t>
      </w:r>
    </w:p>
    <w:p w14:paraId="2BB9EB04" w14:textId="348B7468" w:rsidR="000320B4" w:rsidRPr="00FC68EA" w:rsidRDefault="000320B4" w:rsidP="00FC68EA">
      <w:pPr>
        <w:jc w:val="center"/>
        <w:rPr>
          <w:b/>
          <w:color w:val="7030A0"/>
        </w:rPr>
      </w:pPr>
      <w:r w:rsidRPr="00FC68EA">
        <w:rPr>
          <w:b/>
          <w:color w:val="7030A0"/>
        </w:rPr>
        <w:t>&lt;&lt; Start Citation 1 &gt;&gt;</w:t>
      </w:r>
    </w:p>
    <w:p w14:paraId="440EE0A2" w14:textId="2ACB0811" w:rsidR="000320B4" w:rsidRDefault="00564F77" w:rsidP="001952E9">
      <w:pPr>
        <w:spacing w:after="120"/>
        <w:jc w:val="both"/>
      </w:pPr>
      <w:r w:rsidRPr="00564F77">
        <w:t xml:space="preserve">When a repetition period is configured on the uplink for which repetition period (R) &gt;1, the UE shall not change Doppler pre-compensation during an ongoing repetition period, except in the transmission gaps as defined in clause 10.1.3.6 of TS 36.211[3] or except for band 249 in which UE is allowed to perform pre-compensation </w:t>
      </w:r>
      <w:r w:rsidRPr="007D5A4D">
        <w:t>at the beginning</w:t>
      </w:r>
      <w:r w:rsidRPr="00564F77">
        <w:t xml:space="preserve"> of the uplink burst of 8 consecutive transmitted subframes</w:t>
      </w:r>
      <w:r w:rsidR="000E7FD7" w:rsidRPr="000E7FD7">
        <w:t>, pre-compensation gap is not applicable for band 249</w:t>
      </w:r>
      <w:r w:rsidRPr="00564F77">
        <w:t>. When segmentation is applied, then the UE shall update pre-compensation at the beginning of each segment prior to segment transmission.</w:t>
      </w:r>
    </w:p>
    <w:p w14:paraId="2A81ED8F" w14:textId="4A014985" w:rsidR="00564F77" w:rsidRPr="00FC68EA" w:rsidRDefault="000320B4" w:rsidP="00FC68EA">
      <w:pPr>
        <w:jc w:val="center"/>
        <w:rPr>
          <w:b/>
          <w:color w:val="7030A0"/>
        </w:rPr>
      </w:pPr>
      <w:r w:rsidRPr="00FC68EA">
        <w:rPr>
          <w:b/>
          <w:color w:val="7030A0"/>
        </w:rPr>
        <w:t>&lt;&lt; End Citation 1 &gt;&gt;</w:t>
      </w:r>
    </w:p>
    <w:p w14:paraId="55834D02" w14:textId="65591B2B" w:rsidR="00564F77" w:rsidRDefault="00564F77" w:rsidP="00564F77">
      <w:pPr>
        <w:jc w:val="both"/>
      </w:pPr>
      <w:r w:rsidRPr="00403290">
        <w:rPr>
          <w:b/>
        </w:rPr>
        <w:t xml:space="preserve">Note: </w:t>
      </w:r>
      <w:r w:rsidRPr="00403290">
        <w:rPr>
          <w:bCs/>
        </w:rPr>
        <w:t>For TDD mode, the same TS 36</w:t>
      </w:r>
      <w:r w:rsidRPr="009F57C1">
        <w:t xml:space="preserve">.102 specification </w:t>
      </w:r>
      <w:r>
        <w:t>for NB-IoT NTN UE frequency error applies:</w:t>
      </w:r>
    </w:p>
    <w:p w14:paraId="26741C2F" w14:textId="733202B8" w:rsidR="000320B4" w:rsidRPr="00FC68EA" w:rsidRDefault="000320B4" w:rsidP="00FC68EA">
      <w:pPr>
        <w:jc w:val="center"/>
        <w:rPr>
          <w:b/>
          <w:color w:val="7030A0"/>
        </w:rPr>
      </w:pPr>
      <w:r w:rsidRPr="00FC68EA">
        <w:rPr>
          <w:b/>
          <w:color w:val="7030A0"/>
        </w:rPr>
        <w:t>&lt;&lt; Start Citation 2 &gt;&gt;</w:t>
      </w:r>
    </w:p>
    <w:p w14:paraId="292E1933" w14:textId="2E6E48E3" w:rsidR="00564F77" w:rsidRPr="00FC68EA" w:rsidRDefault="00564F77" w:rsidP="000320B4">
      <w:pPr>
        <w:pStyle w:val="TH"/>
        <w:ind w:left="936"/>
        <w:jc w:val="left"/>
        <w:rPr>
          <w:snapToGrid w:val="0"/>
          <w:lang w:val="en-US"/>
        </w:rPr>
      </w:pPr>
      <w:r>
        <w:rPr>
          <w:snapToGrid w:val="0"/>
          <w:lang w:val="en-US"/>
        </w:rPr>
        <w:t xml:space="preserve">Table 6.4B.1-1: </w:t>
      </w:r>
      <w:r>
        <w:rPr>
          <w:lang w:val="en-US"/>
        </w:rPr>
        <w:t>Frequency error requirement for UE category NB1 and NB2</w:t>
      </w:r>
    </w:p>
    <w:tbl>
      <w:tblPr>
        <w:tblW w:w="177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1817"/>
      </w:tblGrid>
      <w:tr w:rsidR="00564F77" w14:paraId="64E98032" w14:textId="77777777" w:rsidTr="00B923D0">
        <w:trPr>
          <w:cantSplit/>
          <w:jc w:val="center"/>
        </w:trPr>
        <w:tc>
          <w:tcPr>
            <w:tcW w:w="2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7A57" w14:textId="77777777" w:rsidR="00564F77" w:rsidRDefault="00564F77" w:rsidP="00B923D0">
            <w:pPr>
              <w:pStyle w:val="TAH"/>
              <w:rPr>
                <w:lang w:val="en-US"/>
              </w:rPr>
            </w:pPr>
            <w:r>
              <w:t>Carrier frequency [GHz]</w:t>
            </w:r>
          </w:p>
        </w:tc>
        <w:tc>
          <w:tcPr>
            <w:tcW w:w="2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73A03" w14:textId="77777777" w:rsidR="00564F77" w:rsidRDefault="00564F77" w:rsidP="00B923D0">
            <w:pPr>
              <w:pStyle w:val="TAH"/>
            </w:pPr>
            <w:r>
              <w:t>Frequency error [ppm]</w:t>
            </w:r>
          </w:p>
        </w:tc>
      </w:tr>
      <w:tr w:rsidR="00564F77" w14:paraId="2DB18A52" w14:textId="77777777" w:rsidTr="00B923D0">
        <w:trPr>
          <w:cantSplit/>
          <w:trHeight w:val="105"/>
          <w:jc w:val="center"/>
        </w:trPr>
        <w:tc>
          <w:tcPr>
            <w:tcW w:w="2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7E8C9" w14:textId="77777777" w:rsidR="00564F77" w:rsidRDefault="00564F77" w:rsidP="00B923D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5312" w14:textId="77777777" w:rsidR="00564F77" w:rsidRDefault="00564F77" w:rsidP="00B923D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±0.2</w:t>
            </w:r>
          </w:p>
        </w:tc>
      </w:tr>
      <w:tr w:rsidR="00564F77" w14:paraId="6460D560" w14:textId="77777777" w:rsidTr="00B923D0">
        <w:trPr>
          <w:cantSplit/>
          <w:trHeight w:val="105"/>
          <w:jc w:val="center"/>
        </w:trPr>
        <w:tc>
          <w:tcPr>
            <w:tcW w:w="2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28C9" w14:textId="77777777" w:rsidR="00564F77" w:rsidRDefault="00564F77" w:rsidP="00B923D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54F4" w14:textId="77777777" w:rsidR="00564F77" w:rsidRDefault="00564F77" w:rsidP="00B923D0">
            <w:pPr>
              <w:pStyle w:val="TAC"/>
              <w:rPr>
                <w:lang w:eastAsia="ja-JP"/>
              </w:rPr>
            </w:pPr>
            <w:r w:rsidRPr="0045380B">
              <w:rPr>
                <w:lang w:eastAsia="zh-CN"/>
              </w:rPr>
              <w:t>±0.1</w:t>
            </w:r>
          </w:p>
        </w:tc>
      </w:tr>
    </w:tbl>
    <w:p w14:paraId="49663095" w14:textId="77777777" w:rsidR="000320B4" w:rsidRDefault="000320B4" w:rsidP="00FC68EA">
      <w:pPr>
        <w:rPr>
          <w:b/>
          <w:color w:val="002060"/>
        </w:rPr>
      </w:pPr>
    </w:p>
    <w:p w14:paraId="71E6C1AD" w14:textId="57EEF093" w:rsidR="00564F77" w:rsidRPr="00FC68EA" w:rsidRDefault="000320B4" w:rsidP="00FC68EA">
      <w:pPr>
        <w:jc w:val="center"/>
        <w:rPr>
          <w:b/>
          <w:color w:val="7030A0"/>
        </w:rPr>
      </w:pPr>
      <w:r w:rsidRPr="00FC68EA">
        <w:rPr>
          <w:b/>
          <w:color w:val="7030A0"/>
        </w:rPr>
        <w:t>&lt;&lt; End Citation 2 &gt;&gt;</w:t>
      </w:r>
    </w:p>
    <w:p w14:paraId="3CA10914" w14:textId="77777777" w:rsidR="00564F77" w:rsidRPr="0044317D" w:rsidRDefault="00564F77" w:rsidP="00564F77">
      <w:pPr>
        <w:pStyle w:val="ListParagraph"/>
        <w:numPr>
          <w:ilvl w:val="0"/>
          <w:numId w:val="5"/>
        </w:numPr>
        <w:spacing w:after="120"/>
        <w:ind w:firstLineChars="0"/>
        <w:jc w:val="both"/>
        <w:rPr>
          <w:color w:val="0070C0"/>
          <w:szCs w:val="24"/>
          <w:u w:val="single"/>
          <w:lang w:eastAsia="zh-CN"/>
        </w:rPr>
      </w:pPr>
      <w:r w:rsidRPr="0044317D">
        <w:rPr>
          <w:u w:val="single"/>
        </w:rPr>
        <w:t>For timing error requirement (TS 36.133):</w:t>
      </w:r>
    </w:p>
    <w:p w14:paraId="7BD6693E" w14:textId="19A32FEE" w:rsidR="00564F77" w:rsidRDefault="00564F77" w:rsidP="00564F77">
      <w:pPr>
        <w:jc w:val="both"/>
      </w:pPr>
      <w:r w:rsidRPr="00403290">
        <w:rPr>
          <w:b/>
        </w:rPr>
        <w:t xml:space="preserve">Note: </w:t>
      </w:r>
      <w:r w:rsidRPr="00403290">
        <w:rPr>
          <w:bCs/>
        </w:rPr>
        <w:t>For TDD mode, the same TS 36</w:t>
      </w:r>
      <w:r w:rsidRPr="009F57C1">
        <w:t>.1</w:t>
      </w:r>
      <w:r>
        <w:t>33</w:t>
      </w:r>
      <w:r w:rsidRPr="009F57C1">
        <w:t xml:space="preserve"> specification </w:t>
      </w:r>
      <w:r>
        <w:t>for NB-IoT NTN UE timing error applies:</w:t>
      </w:r>
    </w:p>
    <w:p w14:paraId="24727582" w14:textId="6E3B2491" w:rsidR="000320B4" w:rsidRPr="00FC68EA" w:rsidRDefault="000320B4" w:rsidP="00FC68EA">
      <w:pPr>
        <w:jc w:val="center"/>
        <w:rPr>
          <w:b/>
          <w:color w:val="7030A0"/>
        </w:rPr>
      </w:pPr>
      <w:r w:rsidRPr="00FC68EA">
        <w:rPr>
          <w:b/>
          <w:color w:val="7030A0"/>
        </w:rPr>
        <w:t>&lt;&lt; Start Citation 3 &gt;&gt;</w:t>
      </w:r>
    </w:p>
    <w:p w14:paraId="6B9056FF" w14:textId="0CA2F356" w:rsidR="00564F77" w:rsidRPr="00445E8A" w:rsidRDefault="00564F77" w:rsidP="00564F77">
      <w:pPr>
        <w:pStyle w:val="TH"/>
      </w:pPr>
      <w:r w:rsidRPr="00445E8A">
        <w:rPr>
          <w:snapToGrid w:val="0"/>
        </w:rPr>
        <w:t xml:space="preserve">Table 7.20A.2-1: </w:t>
      </w:r>
      <w:proofErr w:type="spellStart"/>
      <w:r w:rsidRPr="00445E8A">
        <w:rPr>
          <w:snapToGrid w:val="0"/>
        </w:rPr>
        <w:t>T</w:t>
      </w:r>
      <w:r w:rsidRPr="00445E8A">
        <w:rPr>
          <w:snapToGrid w:val="0"/>
          <w:vertAlign w:val="subscript"/>
        </w:rPr>
        <w:t>e</w:t>
      </w:r>
      <w:proofErr w:type="spellEnd"/>
      <w:r w:rsidRPr="00445E8A">
        <w:rPr>
          <w:snapToGrid w:val="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3265"/>
      </w:tblGrid>
      <w:tr w:rsidR="00564F77" w:rsidRPr="00445E8A" w14:paraId="4380A115" w14:textId="77777777" w:rsidTr="00B923D0">
        <w:trPr>
          <w:cantSplit/>
          <w:jc w:val="center"/>
        </w:trPr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6EFF" w14:textId="77777777" w:rsidR="00564F77" w:rsidRPr="00445E8A" w:rsidRDefault="00564F77" w:rsidP="00B923D0">
            <w:pPr>
              <w:pStyle w:val="TAH"/>
              <w:rPr>
                <w:rFonts w:cs="Arial"/>
              </w:rPr>
            </w:pPr>
            <w:r w:rsidRPr="00445E8A">
              <w:rPr>
                <w:rFonts w:cs="Arial"/>
              </w:rPr>
              <w:t>Downlink Bandwidth (MHz)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F7F1" w14:textId="77777777" w:rsidR="00564F77" w:rsidRPr="00445E8A" w:rsidRDefault="00564F77" w:rsidP="00B923D0">
            <w:pPr>
              <w:pStyle w:val="TAH"/>
              <w:rPr>
                <w:rFonts w:cs="Arial"/>
              </w:rPr>
            </w:pPr>
            <w:r w:rsidRPr="00445E8A">
              <w:rPr>
                <w:rFonts w:cs="Arial"/>
              </w:rPr>
              <w:t>T</w:t>
            </w:r>
            <w:r w:rsidRPr="00445E8A">
              <w:rPr>
                <w:rFonts w:cs="Arial"/>
                <w:vertAlign w:val="subscript"/>
              </w:rPr>
              <w:t>e_</w:t>
            </w:r>
          </w:p>
        </w:tc>
      </w:tr>
      <w:tr w:rsidR="00564F77" w:rsidRPr="00445E8A" w14:paraId="719E78B6" w14:textId="77777777" w:rsidTr="00B923D0">
        <w:trPr>
          <w:cantSplit/>
          <w:jc w:val="center"/>
        </w:trPr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75E0" w14:textId="77777777" w:rsidR="00564F77" w:rsidRPr="00445E8A" w:rsidRDefault="00564F77" w:rsidP="00B923D0">
            <w:pPr>
              <w:pStyle w:val="TAC"/>
              <w:rPr>
                <w:rFonts w:cs="Arial"/>
              </w:rPr>
            </w:pPr>
            <w:r w:rsidRPr="00445E8A">
              <w:rPr>
                <w:rFonts w:cs="Arial"/>
              </w:rPr>
              <w:t>0.18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E4A5" w14:textId="77777777" w:rsidR="00564F77" w:rsidRPr="00445E8A" w:rsidRDefault="00564F77" w:rsidP="00B923D0">
            <w:pPr>
              <w:pStyle w:val="TAC"/>
              <w:rPr>
                <w:rFonts w:cs="Arial"/>
                <w:vertAlign w:val="superscript"/>
              </w:rPr>
            </w:pPr>
            <w:r w:rsidRPr="00445E8A">
              <w:rPr>
                <w:rFonts w:cs="Arial"/>
              </w:rPr>
              <w:t>97*T</w:t>
            </w:r>
            <w:r w:rsidRPr="00445E8A">
              <w:rPr>
                <w:rFonts w:cs="Arial"/>
                <w:vertAlign w:val="subscript"/>
              </w:rPr>
              <w:t>S</w:t>
            </w:r>
          </w:p>
        </w:tc>
      </w:tr>
      <w:tr w:rsidR="00564F77" w:rsidRPr="00445E8A" w14:paraId="2E342C32" w14:textId="77777777" w:rsidTr="00B923D0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D819" w14:textId="77777777" w:rsidR="00564F77" w:rsidRPr="00445E8A" w:rsidRDefault="00564F77" w:rsidP="00B923D0">
            <w:pPr>
              <w:pStyle w:val="TAN"/>
              <w:rPr>
                <w:rFonts w:cs="Arial"/>
              </w:rPr>
            </w:pPr>
            <w:r w:rsidRPr="00445E8A">
              <w:rPr>
                <w:rFonts w:cs="Arial"/>
              </w:rPr>
              <w:t>Note 1:</w:t>
            </w:r>
            <w:r w:rsidRPr="00445E8A">
              <w:rPr>
                <w:rFonts w:cs="Arial"/>
              </w:rPr>
              <w:tab/>
              <w:t>T</w:t>
            </w:r>
            <w:r w:rsidRPr="00445E8A">
              <w:rPr>
                <w:rFonts w:cs="Arial"/>
                <w:vertAlign w:val="subscript"/>
              </w:rPr>
              <w:t>S</w:t>
            </w:r>
            <w:r w:rsidRPr="00445E8A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26702BC1" w14:textId="77777777" w:rsidR="007C6D57" w:rsidRDefault="007C6D57" w:rsidP="00564F77">
      <w:pPr>
        <w:spacing w:after="120"/>
        <w:rPr>
          <w:rFonts w:ascii="Arial" w:hAnsi="Arial"/>
          <w:snapToGrid w:val="0"/>
        </w:rPr>
      </w:pPr>
    </w:p>
    <w:p w14:paraId="22905055" w14:textId="625DE1EA" w:rsidR="00564F77" w:rsidRPr="00FC68EA" w:rsidRDefault="000320B4" w:rsidP="00FC68EA">
      <w:pPr>
        <w:jc w:val="center"/>
        <w:rPr>
          <w:b/>
          <w:color w:val="7030A0"/>
        </w:rPr>
      </w:pPr>
      <w:r w:rsidRPr="00FC68EA">
        <w:rPr>
          <w:b/>
          <w:color w:val="7030A0"/>
        </w:rPr>
        <w:t>&lt;&lt;End Citation 3 &gt;&gt;</w:t>
      </w:r>
    </w:p>
    <w:p w14:paraId="3E622461" w14:textId="7D059894" w:rsidR="007C6D57" w:rsidRPr="00FC68EA" w:rsidRDefault="007C6D57" w:rsidP="00FC68EA">
      <w:pPr>
        <w:spacing w:after="120"/>
        <w:jc w:val="both"/>
      </w:pPr>
      <w:r w:rsidRPr="00FC68EA">
        <w:t xml:space="preserve">RAN4 </w:t>
      </w:r>
      <w:r w:rsidR="000320B4">
        <w:t xml:space="preserve">therefore </w:t>
      </w:r>
      <w:r w:rsidRPr="00FC68EA">
        <w:t>confirms that</w:t>
      </w:r>
      <w:r w:rsidRPr="00FC68EA">
        <w:rPr>
          <w:b/>
        </w:rPr>
        <w:t xml:space="preserve"> pre-compensation gap is not applicable for 249 </w:t>
      </w:r>
      <w:r w:rsidRPr="00FC68EA">
        <w:t xml:space="preserve">for both frequency error requirement (TS 36.102) and timing error requirement (TS 36.133). </w:t>
      </w:r>
      <w:r w:rsidR="000320B4">
        <w:t>RAN4 has no concerns on the RAN1 agreement</w:t>
      </w:r>
      <w:r w:rsidR="003C1863">
        <w:t>s</w:t>
      </w:r>
      <w:r w:rsidR="000320B4">
        <w:t xml:space="preserve">, </w:t>
      </w:r>
      <w:r w:rsidR="003C1863">
        <w:t xml:space="preserve">and </w:t>
      </w:r>
      <w:r w:rsidR="000320B4">
        <w:t>the current specifications are currently taking into account RAN1 assumptions.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787F80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5833B08" w14:textId="3E5C72D6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RAN4</w:t>
      </w:r>
      <w:r w:rsidR="007C6D57">
        <w:t xml:space="preserve"> confirms that RAN1 agreements and assumptions with respect to NTN NB-IoT UL pre-compensation for 249 </w:t>
      </w:r>
      <w:r w:rsidR="003C1863">
        <w:t xml:space="preserve">frequency band </w:t>
      </w:r>
      <w:r w:rsidR="007C6D57">
        <w:t>have been taken into account</w:t>
      </w:r>
      <w:r w:rsidR="00BA0E98">
        <w:t>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6FF010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7AD8CDF" w14:textId="77777777" w:rsidR="007C6D57" w:rsidRPr="007C6D57" w:rsidRDefault="007C6D57" w:rsidP="00FC68EA"/>
    <w:p w14:paraId="66472AE7" w14:textId="76FA48BC" w:rsidR="002F1940" w:rsidRPr="00FC68EA" w:rsidRDefault="005A72EE" w:rsidP="00FC68EA">
      <w:pPr>
        <w:tabs>
          <w:tab w:val="left" w:pos="3402"/>
          <w:tab w:val="left" w:pos="8364"/>
        </w:tabs>
        <w:rPr>
          <w:lang w:val="de-DE"/>
        </w:rPr>
      </w:pPr>
      <w:bookmarkStart w:id="7" w:name="OLE_LINK53"/>
      <w:bookmarkStart w:id="8" w:name="OLE_LINK54"/>
      <w:r w:rsidRPr="00FC68EA">
        <w:rPr>
          <w:lang w:val="de-DE"/>
        </w:rPr>
        <w:t>RAN4#11</w:t>
      </w:r>
      <w:r w:rsidR="007C6D57" w:rsidRPr="00FC68EA">
        <w:rPr>
          <w:lang w:val="de-DE"/>
        </w:rPr>
        <w:t>8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 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 xml:space="preserve">09 </w:t>
      </w:r>
      <w:r w:rsidR="002F1940" w:rsidRPr="00FC68EA">
        <w:rPr>
          <w:lang w:val="de-DE"/>
        </w:rPr>
        <w:t xml:space="preserve">- </w:t>
      </w:r>
      <w:r w:rsidR="00F37205" w:rsidRPr="00FC68EA">
        <w:rPr>
          <w:lang w:val="de-DE"/>
        </w:rPr>
        <w:t>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-1</w:t>
      </w:r>
      <w:r w:rsidR="007C6D57">
        <w:rPr>
          <w:lang w:val="de-DE"/>
        </w:rPr>
        <w:t>3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 </w:t>
      </w:r>
      <w:proofErr w:type="spellStart"/>
      <w:r w:rsidR="007C6D57" w:rsidRPr="00FC68EA">
        <w:rPr>
          <w:lang w:val="de-DE"/>
        </w:rPr>
        <w:t>Stor</w:t>
      </w:r>
      <w:proofErr w:type="spellEnd"/>
      <w:r w:rsidR="007C6D57" w:rsidRPr="00FC68EA">
        <w:rPr>
          <w:lang w:val="de-DE"/>
        </w:rPr>
        <w:t>-Göteborg</w:t>
      </w:r>
    </w:p>
    <w:bookmarkEnd w:id="7"/>
    <w:bookmarkEnd w:id="8"/>
    <w:p w14:paraId="5345D481" w14:textId="77777777" w:rsidR="002F1940" w:rsidRPr="00FC68EA" w:rsidRDefault="002F1940" w:rsidP="002F1940">
      <w:pPr>
        <w:rPr>
          <w:lang w:val="de-DE"/>
        </w:rPr>
      </w:pPr>
    </w:p>
    <w:sectPr w:rsidR="002F1940" w:rsidRPr="00FC68EA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0021B" w14:textId="77777777" w:rsidR="002D4CFD" w:rsidRDefault="002D4CFD">
      <w:pPr>
        <w:spacing w:after="0"/>
      </w:pPr>
      <w:r>
        <w:separator/>
      </w:r>
    </w:p>
  </w:endnote>
  <w:endnote w:type="continuationSeparator" w:id="0">
    <w:p w14:paraId="0230DEBD" w14:textId="77777777" w:rsidR="002D4CFD" w:rsidRDefault="002D4CFD">
      <w:pPr>
        <w:spacing w:after="0"/>
      </w:pPr>
      <w:r>
        <w:continuationSeparator/>
      </w:r>
    </w:p>
  </w:endnote>
  <w:endnote w:type="continuationNotice" w:id="1">
    <w:p w14:paraId="7B52ECB8" w14:textId="77777777" w:rsidR="002D4CFD" w:rsidRDefault="002D4C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7BCA" w14:textId="54A19C72" w:rsidR="007C6D57" w:rsidRDefault="007C6D57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FB94BC" wp14:editId="16B0EB79">
              <wp:simplePos x="0" y="0"/>
              <wp:positionH relativeFrom="column">
                <wp:posOffset>-648335</wp:posOffset>
              </wp:positionH>
              <wp:positionV relativeFrom="paragraph">
                <wp:posOffset>53975</wp:posOffset>
              </wp:positionV>
              <wp:extent cx="7560945" cy="444500"/>
              <wp:effectExtent l="0" t="0" r="0" b="0"/>
              <wp:wrapNone/>
              <wp:docPr id="3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05CA3A" w14:textId="3B22AB05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B94B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8" type="#_x0000_t202" alt="Titre : TrellixVisuallabelFooter1" style="position:absolute;left:0;text-align:left;margin-left:-51.05pt;margin-top:4.25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" filled="f" stroked="f" strokeweight=".5pt">
              <v:fill o:detectmouseclick="t"/>
              <v:textbox>
                <w:txbxContent>
                  <w:p w14:paraId="7E05CA3A" w14:textId="3B22AB05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E8CC1" w14:textId="77777777" w:rsidR="002D4CFD" w:rsidRDefault="002D4CFD">
      <w:pPr>
        <w:spacing w:after="0"/>
      </w:pPr>
      <w:r>
        <w:separator/>
      </w:r>
    </w:p>
  </w:footnote>
  <w:footnote w:type="continuationSeparator" w:id="0">
    <w:p w14:paraId="478E0F04" w14:textId="77777777" w:rsidR="002D4CFD" w:rsidRDefault="002D4CFD">
      <w:pPr>
        <w:spacing w:after="0"/>
      </w:pPr>
      <w:r>
        <w:continuationSeparator/>
      </w:r>
    </w:p>
  </w:footnote>
  <w:footnote w:type="continuationNotice" w:id="1">
    <w:p w14:paraId="31447EEA" w14:textId="77777777" w:rsidR="002D4CFD" w:rsidRDefault="002D4C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F3998" w14:textId="3BB2F5BD" w:rsidR="007C6D57" w:rsidRDefault="007C6D57">
    <w:pPr>
      <w:pStyle w:val="Head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8A258E" wp14:editId="5E4DE6AB">
              <wp:simplePos x="0" y="0"/>
              <wp:positionH relativeFrom="column">
                <wp:posOffset>-648335</wp:posOffset>
              </wp:positionH>
              <wp:positionV relativeFrom="paragraph">
                <wp:posOffset>-457200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D8C717" w14:textId="2F110612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A258E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7" type="#_x0000_t202" alt="Titre : TrellixVisuallabelHeader1" style="position:absolute;margin-left:-51.05pt;margin-top:-36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" filled="f" stroked="f" strokeweight=".5pt">
              <v:fill o:detectmouseclick="t"/>
              <v:textbox>
                <w:txbxContent>
                  <w:p w14:paraId="25D8C717" w14:textId="2F110612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30668435">
    <w:abstractNumId w:val="7"/>
  </w:num>
  <w:num w:numId="2" w16cid:durableId="1169055259">
    <w:abstractNumId w:val="6"/>
  </w:num>
  <w:num w:numId="3" w16cid:durableId="2103989641">
    <w:abstractNumId w:val="4"/>
  </w:num>
  <w:num w:numId="4" w16cid:durableId="809830670">
    <w:abstractNumId w:val="2"/>
  </w:num>
  <w:num w:numId="5" w16cid:durableId="304967944">
    <w:abstractNumId w:val="3"/>
  </w:num>
  <w:num w:numId="6" w16cid:durableId="3211860">
    <w:abstractNumId w:val="0"/>
  </w:num>
  <w:num w:numId="7" w16cid:durableId="1863088671">
    <w:abstractNumId w:val="5"/>
  </w:num>
  <w:num w:numId="8" w16cid:durableId="187368425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0B4"/>
    <w:rsid w:val="00082458"/>
    <w:rsid w:val="000D7393"/>
    <w:rsid w:val="000E7FD7"/>
    <w:rsid w:val="000F6242"/>
    <w:rsid w:val="00173529"/>
    <w:rsid w:val="001741CA"/>
    <w:rsid w:val="0019137E"/>
    <w:rsid w:val="001952E9"/>
    <w:rsid w:val="001E0FE2"/>
    <w:rsid w:val="00203132"/>
    <w:rsid w:val="00223F30"/>
    <w:rsid w:val="002B0309"/>
    <w:rsid w:val="002B3E66"/>
    <w:rsid w:val="002D4543"/>
    <w:rsid w:val="002D4CFD"/>
    <w:rsid w:val="002E794B"/>
    <w:rsid w:val="002F1940"/>
    <w:rsid w:val="00353124"/>
    <w:rsid w:val="00362C96"/>
    <w:rsid w:val="00383545"/>
    <w:rsid w:val="00386FED"/>
    <w:rsid w:val="003C0EB0"/>
    <w:rsid w:val="003C1863"/>
    <w:rsid w:val="003D0BD6"/>
    <w:rsid w:val="003D5A5B"/>
    <w:rsid w:val="003E6B45"/>
    <w:rsid w:val="003F5003"/>
    <w:rsid w:val="003F6C65"/>
    <w:rsid w:val="004031FE"/>
    <w:rsid w:val="00433500"/>
    <w:rsid w:val="00433F71"/>
    <w:rsid w:val="00435EC5"/>
    <w:rsid w:val="00436D7B"/>
    <w:rsid w:val="00440D43"/>
    <w:rsid w:val="004424C7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44197"/>
    <w:rsid w:val="006513EC"/>
    <w:rsid w:val="00673008"/>
    <w:rsid w:val="006A1DAA"/>
    <w:rsid w:val="006D5A20"/>
    <w:rsid w:val="006F621E"/>
    <w:rsid w:val="00715154"/>
    <w:rsid w:val="00732994"/>
    <w:rsid w:val="007C6D57"/>
    <w:rsid w:val="007D5A4D"/>
    <w:rsid w:val="007E4A2B"/>
    <w:rsid w:val="007E4FB0"/>
    <w:rsid w:val="007F4F92"/>
    <w:rsid w:val="00803E12"/>
    <w:rsid w:val="00820ACD"/>
    <w:rsid w:val="00825E47"/>
    <w:rsid w:val="008A1F0F"/>
    <w:rsid w:val="008D772F"/>
    <w:rsid w:val="008E6DB1"/>
    <w:rsid w:val="008F0BF1"/>
    <w:rsid w:val="0091451F"/>
    <w:rsid w:val="009671A4"/>
    <w:rsid w:val="009745E7"/>
    <w:rsid w:val="00981110"/>
    <w:rsid w:val="0099764C"/>
    <w:rsid w:val="009A26A0"/>
    <w:rsid w:val="009D31CE"/>
    <w:rsid w:val="00A14858"/>
    <w:rsid w:val="00A708B7"/>
    <w:rsid w:val="00A82405"/>
    <w:rsid w:val="00A96B92"/>
    <w:rsid w:val="00B11DEF"/>
    <w:rsid w:val="00B15809"/>
    <w:rsid w:val="00B81DC6"/>
    <w:rsid w:val="00B97703"/>
    <w:rsid w:val="00BA0E98"/>
    <w:rsid w:val="00BE5DD2"/>
    <w:rsid w:val="00C04A42"/>
    <w:rsid w:val="00C05D99"/>
    <w:rsid w:val="00C062D8"/>
    <w:rsid w:val="00C31926"/>
    <w:rsid w:val="00C3209A"/>
    <w:rsid w:val="00C41AB2"/>
    <w:rsid w:val="00C620AE"/>
    <w:rsid w:val="00CB15E5"/>
    <w:rsid w:val="00CC2122"/>
    <w:rsid w:val="00CF6087"/>
    <w:rsid w:val="00D2577C"/>
    <w:rsid w:val="00D50554"/>
    <w:rsid w:val="00D5584D"/>
    <w:rsid w:val="00D93526"/>
    <w:rsid w:val="00DB09AA"/>
    <w:rsid w:val="00DD199F"/>
    <w:rsid w:val="00E00C60"/>
    <w:rsid w:val="00E03BAE"/>
    <w:rsid w:val="00E04882"/>
    <w:rsid w:val="00E2149A"/>
    <w:rsid w:val="00E27D0B"/>
    <w:rsid w:val="00E351E6"/>
    <w:rsid w:val="00E92E53"/>
    <w:rsid w:val="00EE4A19"/>
    <w:rsid w:val="00F138BC"/>
    <w:rsid w:val="00F37205"/>
    <w:rsid w:val="00F4612E"/>
    <w:rsid w:val="00F7065C"/>
    <w:rsid w:val="00FC68EA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"/>
    <w:basedOn w:val="Normal"/>
    <w:link w:val="ListParagraphCh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table" w:styleId="TableGrid">
    <w:name w:val="Table Grid"/>
    <w:basedOn w:val="TableNormal"/>
    <w:uiPriority w:val="59"/>
    <w:rsid w:val="00032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link w:val="1"/>
    <w:uiPriority w:val="34"/>
    <w:qFormat/>
    <w:rsid w:val="000320B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320B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Andjela Ilic-Savoia</cp:lastModifiedBy>
  <cp:revision>5</cp:revision>
  <cp:lastPrinted>2002-04-23T07:10:00Z</cp:lastPrinted>
  <dcterms:created xsi:type="dcterms:W3CDTF">2025-11-05T16:17:00Z</dcterms:created>
  <dcterms:modified xsi:type="dcterms:W3CDTF">2025-11-05T16:33:00Z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{FF3970A7-9045-4E66-851B-0F6441328E62}</vt:lpwstr>
  </property>
  <property fmtid="{D5CDD505-2E9C-101B-9397-08002B2CF9AE}" pid="3" name="DLPManualFileClassificationLastModifiedBy">
    <vt:lpwstr>FLEUVE\T0155502</vt:lpwstr>
  </property>
  <property fmtid="{D5CDD505-2E9C-101B-9397-08002B2CF9AE}" pid="4" name="DLPManualFileClassificationLastModificationDate">
    <vt:lpwstr>1762272590</vt:lpwstr>
  </property>
  <property fmtid="{D5CDD505-2E9C-101B-9397-08002B2CF9AE}" pid="5" name="DLPManualFileClassificationVersion">
    <vt:lpwstr>11.12.0.808</vt:lpwstr>
  </property>
  <property fmtid="{D5CDD505-2E9C-101B-9397-08002B2CF9AE}" pid="6" name="DLPVisualLabelFileClassification">
    <vt:lpwstr>{FF3970A7-9045-4E66-851B-0F6441328E62}</vt:lpwstr>
  </property>
  <property fmtid="{D5CDD505-2E9C-101B-9397-08002B2CF9AE}" pid="7" name="DLPVisualLabelFileClassificationModifiedBy">
    <vt:lpwstr>FLEUVE\T0155502</vt:lpwstr>
  </property>
  <property fmtid="{D5CDD505-2E9C-101B-9397-08002B2CF9AE}" pid="8" name="DLPVisualLabelFileClassificationModifiedDate">
    <vt:lpwstr>1762272590</vt:lpwstr>
  </property>
  <property fmtid="{D5CDD505-2E9C-101B-9397-08002B2CF9AE}" pid="9" name="DLPVisualLabelFileClassificationAlignment">
    <vt:lpwstr>2</vt:lpwstr>
  </property>
  <property fmtid="{D5CDD505-2E9C-101B-9397-08002B2CF9AE}" pid="10" name="DLPVisualLabelFileClassificationPosition">
    <vt:lpwstr>TrellixVisuallabelHeader;TrellixVisuallabelFooter</vt:lpwstr>
  </property>
</Properties>
</file>